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23240" w14:textId="7976CE98" w:rsidR="00905619" w:rsidRDefault="00905619" w:rsidP="00AA0EFC">
      <w:pPr>
        <w:spacing w:line="360" w:lineRule="auto"/>
        <w:ind w:right="1559"/>
        <w:jc w:val="both"/>
        <w:rPr>
          <w:rFonts w:ascii="Arial" w:hAnsi="Arial" w:cs="Arial"/>
          <w:b/>
          <w:bCs/>
          <w:sz w:val="24"/>
          <w:szCs w:val="24"/>
        </w:rPr>
      </w:pPr>
      <w:r w:rsidRPr="00905619">
        <w:rPr>
          <w:rFonts w:ascii="Arial" w:hAnsi="Arial" w:cs="Arial"/>
          <w:b/>
          <w:bCs/>
          <w:sz w:val="24"/>
          <w:szCs w:val="24"/>
        </w:rPr>
        <w:t xml:space="preserve">KRAIBURG TPE </w:t>
      </w:r>
      <w:r w:rsidR="00F24379">
        <w:rPr>
          <w:rFonts w:ascii="Arial" w:hAnsi="Arial" w:cs="Arial"/>
          <w:b/>
          <w:bCs/>
          <w:sz w:val="24"/>
          <w:szCs w:val="24"/>
        </w:rPr>
        <w:t>Materials Pack</w:t>
      </w:r>
      <w:r w:rsidRPr="00905619">
        <w:rPr>
          <w:rFonts w:ascii="Arial" w:hAnsi="Arial" w:cs="Arial"/>
          <w:b/>
          <w:bCs/>
          <w:sz w:val="24"/>
          <w:szCs w:val="24"/>
        </w:rPr>
        <w:t xml:space="preserve"> Functional and Safety Benefits for Nutrition Bottles</w:t>
      </w:r>
    </w:p>
    <w:p w14:paraId="4B4B8CB1" w14:textId="38006B1E" w:rsidR="00A75159" w:rsidRPr="001F458C" w:rsidRDefault="00A75159" w:rsidP="00AA0EFC">
      <w:pPr>
        <w:spacing w:line="360" w:lineRule="auto"/>
        <w:ind w:right="1559"/>
        <w:jc w:val="both"/>
        <w:rPr>
          <w:rFonts w:ascii="Arial" w:hAnsi="Arial" w:cs="Arial"/>
          <w:color w:val="000000" w:themeColor="text1"/>
          <w:sz w:val="20"/>
          <w:szCs w:val="20"/>
        </w:rPr>
      </w:pPr>
      <w:r w:rsidRPr="001F458C">
        <w:rPr>
          <w:rFonts w:ascii="Arial" w:hAnsi="Arial" w:cs="Arial"/>
          <w:color w:val="000000" w:themeColor="text1"/>
          <w:sz w:val="20"/>
          <w:szCs w:val="20"/>
        </w:rPr>
        <w:t xml:space="preserve">Nutrition bottles are specialized containers to hold liquids for hydration, wellness beverages, or infant </w:t>
      </w:r>
      <w:proofErr w:type="gramStart"/>
      <w:r w:rsidRPr="001F458C">
        <w:rPr>
          <w:rFonts w:ascii="Arial" w:hAnsi="Arial" w:cs="Arial"/>
          <w:color w:val="000000" w:themeColor="text1"/>
          <w:sz w:val="20"/>
          <w:szCs w:val="20"/>
        </w:rPr>
        <w:t>formula</w:t>
      </w:r>
      <w:proofErr w:type="gramEnd"/>
      <w:r w:rsidRPr="001F458C">
        <w:rPr>
          <w:rFonts w:ascii="Arial" w:hAnsi="Arial" w:cs="Arial"/>
          <w:color w:val="000000" w:themeColor="text1"/>
          <w:sz w:val="20"/>
          <w:szCs w:val="20"/>
        </w:rPr>
        <w:t>. Because they come into direct contact with products for human consumption, manufacturers must use food-safe materials and ensure the bottles are sturdy enough to withstand handling, dispensing, and</w:t>
      </w:r>
      <w:r w:rsidR="00696BA2">
        <w:rPr>
          <w:rFonts w:ascii="Arial" w:hAnsi="Arial" w:cs="Arial" w:hint="eastAsia"/>
          <w:color w:val="000000" w:themeColor="text1"/>
          <w:sz w:val="20"/>
          <w:szCs w:val="20"/>
          <w:lang w:eastAsia="zh-CN"/>
        </w:rPr>
        <w:t xml:space="preserve"> </w:t>
      </w:r>
      <w:r w:rsidRPr="001F458C">
        <w:rPr>
          <w:rFonts w:ascii="Arial" w:hAnsi="Arial" w:cs="Arial"/>
          <w:color w:val="000000" w:themeColor="text1"/>
          <w:sz w:val="20"/>
          <w:szCs w:val="20"/>
        </w:rPr>
        <w:t>repeated use across different settings and consumers.</w:t>
      </w:r>
      <w:r w:rsidR="00333CD5" w:rsidRPr="001F458C">
        <w:rPr>
          <w:rFonts w:ascii="Arial" w:hAnsi="Arial" w:cs="Arial"/>
          <w:color w:val="000000" w:themeColor="text1"/>
          <w:sz w:val="20"/>
          <w:szCs w:val="20"/>
        </w:rPr>
        <w:t xml:space="preserve"> </w:t>
      </w:r>
    </w:p>
    <w:p w14:paraId="70018C71" w14:textId="5E662BAA" w:rsidR="00C36FB4" w:rsidRDefault="00C36FB4" w:rsidP="00AA0EFC">
      <w:pPr>
        <w:spacing w:line="360" w:lineRule="auto"/>
        <w:ind w:right="1559"/>
        <w:jc w:val="both"/>
        <w:rPr>
          <w:rFonts w:ascii="Arial" w:hAnsi="Arial" w:cs="Arial"/>
          <w:color w:val="000000" w:themeColor="text1"/>
          <w:sz w:val="20"/>
          <w:szCs w:val="20"/>
        </w:rPr>
      </w:pPr>
      <w:r w:rsidRPr="001F458C">
        <w:rPr>
          <w:rFonts w:ascii="Arial" w:hAnsi="Arial" w:cs="Arial"/>
          <w:color w:val="000000" w:themeColor="text1"/>
          <w:sz w:val="20"/>
          <w:szCs w:val="20"/>
        </w:rPr>
        <w:t>KRAIBURG TPE, a global manufacturer of thermoplastic elastomers (TPEs) and customized solutions for various industries, addresses these needs with its THERMOLAST</w:t>
      </w:r>
      <w:r w:rsidRPr="00A03577">
        <w:rPr>
          <w:rFonts w:ascii="Arial" w:hAnsi="Arial" w:cs="Arial"/>
          <w:color w:val="000000" w:themeColor="text1"/>
          <w:sz w:val="20"/>
          <w:szCs w:val="20"/>
          <w:vertAlign w:val="superscript"/>
        </w:rPr>
        <w:t>®</w:t>
      </w:r>
      <w:r w:rsidRPr="001F458C">
        <w:rPr>
          <w:rFonts w:ascii="Arial" w:hAnsi="Arial" w:cs="Arial"/>
          <w:color w:val="000000" w:themeColor="text1"/>
          <w:sz w:val="20"/>
          <w:szCs w:val="20"/>
        </w:rPr>
        <w:t xml:space="preserve"> K series TPE compounds, specifically designed for nutrition bottle applications. This series enhances the functionality of nutrition bottle solutions by imparting the properties necessary for functional reliability and long-term performance, while assisting manufacturers with efficient processing, regulatory compliance, and consistent product quality.</w:t>
      </w:r>
    </w:p>
    <w:p w14:paraId="53FB9C03" w14:textId="77777777" w:rsidR="001F458C" w:rsidRPr="001F458C" w:rsidRDefault="001F458C" w:rsidP="00AA0EFC">
      <w:pPr>
        <w:spacing w:line="360" w:lineRule="auto"/>
        <w:ind w:right="1559"/>
        <w:jc w:val="both"/>
        <w:rPr>
          <w:rFonts w:ascii="Arial" w:hAnsi="Arial" w:cs="Arial"/>
          <w:color w:val="000000" w:themeColor="text1"/>
          <w:sz w:val="6"/>
          <w:szCs w:val="6"/>
        </w:rPr>
      </w:pPr>
    </w:p>
    <w:p w14:paraId="6F0A1075" w14:textId="04A77F2C" w:rsidR="00A75159" w:rsidRPr="001F458C" w:rsidRDefault="001F458C" w:rsidP="004E1725">
      <w:pPr>
        <w:spacing w:line="360" w:lineRule="auto"/>
        <w:ind w:right="1559"/>
        <w:jc w:val="both"/>
        <w:rPr>
          <w:rFonts w:ascii="Arial" w:hAnsi="Arial" w:cs="Arial"/>
          <w:b/>
          <w:bCs/>
          <w:color w:val="000000" w:themeColor="text1"/>
          <w:sz w:val="20"/>
          <w:szCs w:val="20"/>
        </w:rPr>
      </w:pPr>
      <w:r w:rsidRPr="001F458C">
        <w:rPr>
          <w:rFonts w:ascii="Arial" w:hAnsi="Arial" w:cs="Arial"/>
          <w:b/>
          <w:bCs/>
          <w:color w:val="000000" w:themeColor="text1"/>
          <w:sz w:val="20"/>
          <w:szCs w:val="20"/>
        </w:rPr>
        <w:t>Soft touch</w:t>
      </w:r>
      <w:r w:rsidR="00A75159" w:rsidRPr="001F458C">
        <w:rPr>
          <w:rFonts w:ascii="Arial" w:hAnsi="Arial" w:cs="Arial"/>
          <w:b/>
          <w:bCs/>
          <w:color w:val="000000" w:themeColor="text1"/>
          <w:sz w:val="20"/>
          <w:szCs w:val="20"/>
        </w:rPr>
        <w:t xml:space="preserve"> </w:t>
      </w:r>
      <w:r w:rsidRPr="001F458C">
        <w:rPr>
          <w:rFonts w:ascii="Arial" w:hAnsi="Arial" w:cs="Arial"/>
          <w:b/>
          <w:bCs/>
          <w:color w:val="000000" w:themeColor="text1"/>
          <w:sz w:val="20"/>
          <w:szCs w:val="20"/>
        </w:rPr>
        <w:t>feels</w:t>
      </w:r>
      <w:r w:rsidR="00A75159" w:rsidRPr="001F458C">
        <w:rPr>
          <w:rFonts w:ascii="Arial" w:hAnsi="Arial" w:cs="Arial"/>
          <w:b/>
          <w:bCs/>
          <w:color w:val="000000" w:themeColor="text1"/>
          <w:sz w:val="20"/>
          <w:szCs w:val="20"/>
        </w:rPr>
        <w:t xml:space="preserve"> and </w:t>
      </w:r>
      <w:r w:rsidR="00C36FB4" w:rsidRPr="001F458C">
        <w:rPr>
          <w:rFonts w:ascii="Arial" w:hAnsi="Arial" w:cs="Arial"/>
          <w:b/>
          <w:bCs/>
          <w:color w:val="000000" w:themeColor="text1"/>
          <w:sz w:val="20"/>
          <w:szCs w:val="20"/>
        </w:rPr>
        <w:t>c</w:t>
      </w:r>
      <w:r w:rsidR="00A75159" w:rsidRPr="001F458C">
        <w:rPr>
          <w:rFonts w:ascii="Arial" w:hAnsi="Arial" w:cs="Arial"/>
          <w:b/>
          <w:bCs/>
          <w:color w:val="000000" w:themeColor="text1"/>
          <w:sz w:val="20"/>
          <w:szCs w:val="20"/>
        </w:rPr>
        <w:t xml:space="preserve">onsistent </w:t>
      </w:r>
      <w:r w:rsidR="00C36FB4" w:rsidRPr="001F458C">
        <w:rPr>
          <w:rFonts w:ascii="Arial" w:hAnsi="Arial" w:cs="Arial"/>
          <w:b/>
          <w:bCs/>
          <w:color w:val="000000" w:themeColor="text1"/>
          <w:sz w:val="20"/>
          <w:szCs w:val="20"/>
        </w:rPr>
        <w:t>f</w:t>
      </w:r>
      <w:r w:rsidR="00A75159" w:rsidRPr="001F458C">
        <w:rPr>
          <w:rFonts w:ascii="Arial" w:hAnsi="Arial" w:cs="Arial"/>
          <w:b/>
          <w:bCs/>
          <w:color w:val="000000" w:themeColor="text1"/>
          <w:sz w:val="20"/>
          <w:szCs w:val="20"/>
        </w:rPr>
        <w:t>orm</w:t>
      </w:r>
    </w:p>
    <w:p w14:paraId="0514DF92" w14:textId="256462B5" w:rsidR="00AA0EFC" w:rsidRDefault="00A75159" w:rsidP="004E1725">
      <w:pPr>
        <w:spacing w:line="360" w:lineRule="auto"/>
        <w:ind w:right="1559"/>
        <w:jc w:val="both"/>
        <w:rPr>
          <w:rFonts w:ascii="Arial" w:hAnsi="Arial" w:cs="Arial"/>
          <w:color w:val="000000" w:themeColor="text1"/>
          <w:sz w:val="20"/>
          <w:szCs w:val="20"/>
          <w:lang w:eastAsia="zh-CN"/>
        </w:rPr>
      </w:pPr>
      <w:hyperlink r:id="rId11" w:history="1">
        <w:r w:rsidRPr="00C37F09">
          <w:rPr>
            <w:rStyle w:val="Hyperlink"/>
            <w:rFonts w:ascii="Arial" w:hAnsi="Arial" w:cs="Arial"/>
            <w:sz w:val="20"/>
            <w:szCs w:val="20"/>
            <w:lang w:eastAsia="zh-CN"/>
          </w:rPr>
          <w:t>THERMOLAST</w:t>
        </w:r>
        <w:r w:rsidRPr="00A03577">
          <w:rPr>
            <w:rStyle w:val="Hyperlink"/>
            <w:rFonts w:ascii="Arial" w:hAnsi="Arial" w:cs="Arial"/>
            <w:sz w:val="20"/>
            <w:szCs w:val="20"/>
            <w:vertAlign w:val="superscript"/>
            <w:lang w:eastAsia="zh-CN"/>
          </w:rPr>
          <w:t>®</w:t>
        </w:r>
        <w:r w:rsidRPr="00C37F09">
          <w:rPr>
            <w:rStyle w:val="Hyperlink"/>
            <w:rFonts w:ascii="Arial" w:hAnsi="Arial" w:cs="Arial"/>
            <w:sz w:val="20"/>
            <w:szCs w:val="20"/>
            <w:lang w:eastAsia="zh-CN"/>
          </w:rPr>
          <w:t xml:space="preserve"> K series</w:t>
        </w:r>
      </w:hyperlink>
      <w:r w:rsidRPr="001F458C">
        <w:rPr>
          <w:rFonts w:ascii="Arial" w:hAnsi="Arial" w:cs="Arial"/>
          <w:color w:val="000000" w:themeColor="text1"/>
          <w:sz w:val="20"/>
          <w:szCs w:val="20"/>
          <w:lang w:eastAsia="zh-CN"/>
        </w:rPr>
        <w:t xml:space="preserve"> in nutrition bottle applications exhibits an optimized compression set, ensuring that components such as sealing cups, bottle caps, and flexible grips retain their form and usability even with frequent use. </w:t>
      </w:r>
    </w:p>
    <w:p w14:paraId="0CBC9E4D" w14:textId="77777777" w:rsidR="001F458C" w:rsidRPr="001F458C" w:rsidRDefault="001F458C" w:rsidP="004E1725">
      <w:pPr>
        <w:spacing w:line="360" w:lineRule="auto"/>
        <w:ind w:right="1559"/>
        <w:jc w:val="both"/>
        <w:rPr>
          <w:rFonts w:ascii="Arial" w:hAnsi="Arial" w:cs="Arial"/>
          <w:color w:val="000000" w:themeColor="text1"/>
          <w:sz w:val="6"/>
          <w:szCs w:val="6"/>
        </w:rPr>
      </w:pPr>
    </w:p>
    <w:p w14:paraId="62C640DB" w14:textId="45E852B7" w:rsidR="00A75159" w:rsidRPr="001F458C" w:rsidRDefault="00A75159" w:rsidP="004E1725">
      <w:pPr>
        <w:spacing w:line="360" w:lineRule="auto"/>
        <w:ind w:right="1559"/>
        <w:jc w:val="both"/>
        <w:rPr>
          <w:rFonts w:ascii="Arial" w:hAnsi="Arial" w:cs="Arial"/>
          <w:b/>
          <w:bCs/>
          <w:color w:val="000000" w:themeColor="text1"/>
          <w:sz w:val="20"/>
          <w:szCs w:val="20"/>
        </w:rPr>
      </w:pPr>
      <w:r w:rsidRPr="001F458C">
        <w:rPr>
          <w:rFonts w:ascii="Arial" w:hAnsi="Arial" w:cs="Arial"/>
          <w:b/>
          <w:bCs/>
          <w:color w:val="000000" w:themeColor="text1"/>
          <w:sz w:val="20"/>
          <w:szCs w:val="20"/>
        </w:rPr>
        <w:t xml:space="preserve">Seamless </w:t>
      </w:r>
      <w:r w:rsidR="00C36FB4" w:rsidRPr="001F458C">
        <w:rPr>
          <w:rFonts w:ascii="Arial" w:hAnsi="Arial" w:cs="Arial"/>
          <w:b/>
          <w:bCs/>
          <w:color w:val="000000" w:themeColor="text1"/>
          <w:sz w:val="20"/>
          <w:szCs w:val="20"/>
        </w:rPr>
        <w:t xml:space="preserve">part integration </w:t>
      </w:r>
      <w:r w:rsidRPr="001F458C">
        <w:rPr>
          <w:rFonts w:ascii="Arial" w:hAnsi="Arial" w:cs="Arial"/>
          <w:b/>
          <w:bCs/>
          <w:color w:val="000000" w:themeColor="text1"/>
          <w:sz w:val="20"/>
          <w:szCs w:val="20"/>
        </w:rPr>
        <w:t xml:space="preserve">and </w:t>
      </w:r>
      <w:r w:rsidR="00C36FB4" w:rsidRPr="001F458C">
        <w:rPr>
          <w:rFonts w:ascii="Arial" w:hAnsi="Arial" w:cs="Arial"/>
          <w:b/>
          <w:bCs/>
          <w:color w:val="000000" w:themeColor="text1"/>
          <w:sz w:val="20"/>
          <w:szCs w:val="20"/>
        </w:rPr>
        <w:t>m</w:t>
      </w:r>
      <w:r w:rsidRPr="001F458C">
        <w:rPr>
          <w:rFonts w:ascii="Arial" w:hAnsi="Arial" w:cs="Arial"/>
          <w:b/>
          <w:bCs/>
          <w:color w:val="000000" w:themeColor="text1"/>
          <w:sz w:val="20"/>
          <w:szCs w:val="20"/>
        </w:rPr>
        <w:t>ulti-</w:t>
      </w:r>
      <w:r w:rsidR="00C36FB4" w:rsidRPr="001F458C">
        <w:rPr>
          <w:rFonts w:ascii="Arial" w:hAnsi="Arial" w:cs="Arial"/>
          <w:b/>
          <w:bCs/>
          <w:color w:val="000000" w:themeColor="text1"/>
          <w:sz w:val="20"/>
          <w:szCs w:val="20"/>
        </w:rPr>
        <w:t>c</w:t>
      </w:r>
      <w:r w:rsidRPr="001F458C">
        <w:rPr>
          <w:rFonts w:ascii="Arial" w:hAnsi="Arial" w:cs="Arial"/>
          <w:b/>
          <w:bCs/>
          <w:color w:val="000000" w:themeColor="text1"/>
          <w:sz w:val="20"/>
          <w:szCs w:val="20"/>
        </w:rPr>
        <w:t xml:space="preserve">omponent </w:t>
      </w:r>
      <w:r w:rsidR="00C36FB4" w:rsidRPr="001F458C">
        <w:rPr>
          <w:rFonts w:ascii="Arial" w:hAnsi="Arial" w:cs="Arial"/>
          <w:b/>
          <w:bCs/>
          <w:color w:val="000000" w:themeColor="text1"/>
          <w:sz w:val="20"/>
          <w:szCs w:val="20"/>
        </w:rPr>
        <w:t>e</w:t>
      </w:r>
      <w:r w:rsidRPr="001F458C">
        <w:rPr>
          <w:rFonts w:ascii="Arial" w:hAnsi="Arial" w:cs="Arial"/>
          <w:b/>
          <w:bCs/>
          <w:color w:val="000000" w:themeColor="text1"/>
          <w:sz w:val="20"/>
          <w:szCs w:val="20"/>
        </w:rPr>
        <w:t>fficiency</w:t>
      </w:r>
    </w:p>
    <w:p w14:paraId="1D38C10D" w14:textId="77777777" w:rsidR="00AA30AA" w:rsidRDefault="00AA30AA" w:rsidP="004E1725">
      <w:pPr>
        <w:spacing w:line="360" w:lineRule="auto"/>
        <w:ind w:right="1559"/>
        <w:jc w:val="both"/>
        <w:rPr>
          <w:rFonts w:ascii="Arial" w:hAnsi="Arial" w:cs="Arial"/>
          <w:color w:val="000000" w:themeColor="text1"/>
          <w:sz w:val="20"/>
          <w:szCs w:val="20"/>
        </w:rPr>
      </w:pPr>
      <w:r w:rsidRPr="001F458C">
        <w:rPr>
          <w:rFonts w:ascii="Arial" w:hAnsi="Arial" w:cs="Arial"/>
          <w:color w:val="000000" w:themeColor="text1"/>
          <w:sz w:val="20"/>
          <w:szCs w:val="20"/>
        </w:rPr>
        <w:t>THERMOLAST</w:t>
      </w:r>
      <w:r w:rsidRPr="00A03577">
        <w:rPr>
          <w:rFonts w:ascii="Arial" w:hAnsi="Arial" w:cs="Arial"/>
          <w:color w:val="000000" w:themeColor="text1"/>
          <w:sz w:val="20"/>
          <w:szCs w:val="20"/>
          <w:vertAlign w:val="superscript"/>
        </w:rPr>
        <w:t>®</w:t>
      </w:r>
      <w:r w:rsidRPr="001F458C">
        <w:rPr>
          <w:rFonts w:ascii="Arial" w:hAnsi="Arial" w:cs="Arial"/>
          <w:color w:val="000000" w:themeColor="text1"/>
          <w:sz w:val="20"/>
          <w:szCs w:val="20"/>
        </w:rPr>
        <w:t xml:space="preserve"> K series demonstrates excellent adhesion to polypropylene (PP), a commonly used polymer in nutrition bottles, allowing seamless integration of soft functional elements with rigid bottle components. Its excellent processability in multi-component injection molding further improves manufacturing efficiency and scalability, making it a significant advantage in production. The materials also facilitate optimized demolding, in-process </w:t>
      </w:r>
      <w:r w:rsidRPr="001F458C">
        <w:rPr>
          <w:rFonts w:ascii="Arial" w:hAnsi="Arial" w:cs="Arial"/>
          <w:color w:val="000000" w:themeColor="text1"/>
          <w:sz w:val="20"/>
          <w:szCs w:val="20"/>
        </w:rPr>
        <w:lastRenderedPageBreak/>
        <w:t>recycling, and compatibility with HDPE and PP recycling, making them practical for sustainable production.</w:t>
      </w:r>
    </w:p>
    <w:p w14:paraId="60B36916" w14:textId="77777777" w:rsidR="001F458C" w:rsidRPr="001F458C" w:rsidRDefault="001F458C" w:rsidP="004E1725">
      <w:pPr>
        <w:spacing w:line="360" w:lineRule="auto"/>
        <w:ind w:right="1559"/>
        <w:jc w:val="both"/>
        <w:rPr>
          <w:rFonts w:ascii="Arial" w:hAnsi="Arial" w:cs="Arial"/>
          <w:color w:val="000000" w:themeColor="text1"/>
          <w:sz w:val="6"/>
          <w:szCs w:val="6"/>
        </w:rPr>
      </w:pPr>
    </w:p>
    <w:p w14:paraId="20ABD6EA" w14:textId="42FDC9EF" w:rsidR="004E1725" w:rsidRPr="001F458C" w:rsidRDefault="004E1725" w:rsidP="00AA0EFC">
      <w:pPr>
        <w:spacing w:after="0" w:line="360" w:lineRule="auto"/>
        <w:ind w:right="1559"/>
        <w:contextualSpacing/>
        <w:jc w:val="both"/>
        <w:rPr>
          <w:rFonts w:ascii="Arial" w:hAnsi="Arial" w:cs="Arial"/>
          <w:b/>
          <w:bCs/>
          <w:color w:val="000000" w:themeColor="text1"/>
          <w:sz w:val="20"/>
          <w:szCs w:val="20"/>
        </w:rPr>
      </w:pPr>
      <w:r w:rsidRPr="001F458C">
        <w:rPr>
          <w:rFonts w:ascii="Arial" w:hAnsi="Arial" w:cs="Arial"/>
          <w:b/>
          <w:bCs/>
          <w:color w:val="000000" w:themeColor="text1"/>
          <w:sz w:val="20"/>
          <w:szCs w:val="20"/>
        </w:rPr>
        <w:t>Versatility in design and appearance</w:t>
      </w:r>
    </w:p>
    <w:p w14:paraId="75431192" w14:textId="77777777" w:rsidR="00DC686B" w:rsidRPr="001F458C" w:rsidRDefault="00DC686B" w:rsidP="00AA0EFC">
      <w:pPr>
        <w:spacing w:after="0" w:line="360" w:lineRule="auto"/>
        <w:ind w:right="1559"/>
        <w:contextualSpacing/>
        <w:jc w:val="both"/>
        <w:rPr>
          <w:rFonts w:ascii="Arial" w:hAnsi="Arial" w:cs="Arial"/>
          <w:b/>
          <w:bCs/>
          <w:color w:val="000000" w:themeColor="text1"/>
          <w:sz w:val="20"/>
          <w:szCs w:val="20"/>
        </w:rPr>
      </w:pPr>
    </w:p>
    <w:p w14:paraId="7B6084CE" w14:textId="3CC0916B" w:rsidR="004E1725" w:rsidRDefault="00BE52A7" w:rsidP="001F458C">
      <w:pPr>
        <w:pStyle w:val="NoSpacing"/>
        <w:spacing w:line="360" w:lineRule="auto"/>
        <w:ind w:right="1555"/>
        <w:contextualSpacing/>
        <w:jc w:val="both"/>
        <w:rPr>
          <w:rFonts w:ascii="Arial" w:hAnsi="Arial" w:cs="Arial"/>
          <w:color w:val="000000" w:themeColor="text1"/>
          <w:sz w:val="20"/>
          <w:szCs w:val="20"/>
          <w:lang w:eastAsia="zh-CN"/>
        </w:rPr>
      </w:pPr>
      <w:r w:rsidRPr="001F458C">
        <w:rPr>
          <w:rFonts w:ascii="Arial" w:hAnsi="Arial" w:cs="Arial"/>
          <w:color w:val="000000" w:themeColor="text1"/>
          <w:sz w:val="20"/>
          <w:szCs w:val="20"/>
        </w:rPr>
        <w:t>THERMOLAST</w:t>
      </w:r>
      <w:r w:rsidRPr="00A03577">
        <w:rPr>
          <w:rFonts w:ascii="Arial" w:hAnsi="Arial" w:cs="Arial"/>
          <w:color w:val="000000" w:themeColor="text1"/>
          <w:sz w:val="20"/>
          <w:szCs w:val="20"/>
          <w:vertAlign w:val="superscript"/>
        </w:rPr>
        <w:t>®</w:t>
      </w:r>
      <w:r w:rsidRPr="001F458C">
        <w:rPr>
          <w:rFonts w:ascii="Arial" w:hAnsi="Arial" w:cs="Arial"/>
          <w:color w:val="000000" w:themeColor="text1"/>
          <w:sz w:val="20"/>
          <w:szCs w:val="20"/>
        </w:rPr>
        <w:t xml:space="preserve"> </w:t>
      </w:r>
      <w:r w:rsidR="00C36FB4" w:rsidRPr="001F458C">
        <w:rPr>
          <w:rFonts w:ascii="Arial" w:hAnsi="Arial" w:cs="Arial"/>
          <w:color w:val="000000" w:themeColor="text1"/>
          <w:sz w:val="20"/>
          <w:szCs w:val="20"/>
        </w:rPr>
        <w:t>K series</w:t>
      </w:r>
      <w:r w:rsidRPr="001F458C">
        <w:rPr>
          <w:rFonts w:ascii="Arial" w:hAnsi="Arial" w:cs="Arial"/>
          <w:color w:val="000000" w:themeColor="text1"/>
          <w:sz w:val="20"/>
          <w:szCs w:val="20"/>
        </w:rPr>
        <w:t xml:space="preserve"> </w:t>
      </w:r>
      <w:r w:rsidR="00C36FB4" w:rsidRPr="001F458C">
        <w:rPr>
          <w:rFonts w:ascii="Arial" w:hAnsi="Arial" w:cs="Arial"/>
          <w:color w:val="000000" w:themeColor="text1"/>
          <w:sz w:val="20"/>
          <w:szCs w:val="20"/>
        </w:rPr>
        <w:t>is</w:t>
      </w:r>
      <w:r w:rsidR="004E1725" w:rsidRPr="001F458C">
        <w:rPr>
          <w:rFonts w:ascii="Arial" w:hAnsi="Arial" w:cs="Arial"/>
          <w:color w:val="000000" w:themeColor="text1"/>
          <w:sz w:val="20"/>
          <w:szCs w:val="20"/>
        </w:rPr>
        <w:t xml:space="preserve"> colorable and available in translucent</w:t>
      </w:r>
      <w:r w:rsidRPr="001F458C">
        <w:rPr>
          <w:rFonts w:ascii="Arial" w:hAnsi="Arial" w:cs="Arial"/>
          <w:color w:val="000000" w:themeColor="text1"/>
          <w:sz w:val="20"/>
          <w:szCs w:val="20"/>
          <w:lang w:eastAsia="zh-CN"/>
        </w:rPr>
        <w:t xml:space="preserve"> </w:t>
      </w:r>
      <w:r w:rsidR="004E1725" w:rsidRPr="001F458C">
        <w:rPr>
          <w:rFonts w:ascii="Arial" w:hAnsi="Arial" w:cs="Arial"/>
          <w:color w:val="000000" w:themeColor="text1"/>
          <w:sz w:val="20"/>
          <w:szCs w:val="20"/>
        </w:rPr>
        <w:t xml:space="preserve">formulations, providing clear visibility of liquid levels and </w:t>
      </w:r>
      <w:r w:rsidR="001F458C" w:rsidRPr="001F458C">
        <w:rPr>
          <w:rFonts w:ascii="Arial" w:hAnsi="Arial" w:cs="Arial"/>
          <w:color w:val="000000" w:themeColor="text1"/>
          <w:sz w:val="20"/>
          <w:szCs w:val="20"/>
        </w:rPr>
        <w:t>permitting aesthetic</w:t>
      </w:r>
      <w:r w:rsidR="004E1725" w:rsidRPr="001F458C">
        <w:rPr>
          <w:rFonts w:ascii="Arial" w:hAnsi="Arial" w:cs="Arial"/>
          <w:color w:val="000000" w:themeColor="text1"/>
          <w:sz w:val="20"/>
          <w:szCs w:val="20"/>
        </w:rPr>
        <w:t xml:space="preserve"> customization. The </w:t>
      </w:r>
      <w:r w:rsidR="00333CD5" w:rsidRPr="001F458C">
        <w:rPr>
          <w:rFonts w:ascii="Arial" w:hAnsi="Arial" w:cs="Arial"/>
          <w:color w:val="000000" w:themeColor="text1"/>
          <w:sz w:val="20"/>
          <w:szCs w:val="20"/>
        </w:rPr>
        <w:t xml:space="preserve">smooth touch material features </w:t>
      </w:r>
      <w:r w:rsidR="004E1725" w:rsidRPr="001F458C">
        <w:rPr>
          <w:rFonts w:ascii="Arial" w:hAnsi="Arial" w:cs="Arial"/>
          <w:color w:val="000000" w:themeColor="text1"/>
          <w:sz w:val="20"/>
          <w:szCs w:val="20"/>
        </w:rPr>
        <w:t>low surface friction</w:t>
      </w:r>
      <w:r w:rsidR="001F458C">
        <w:rPr>
          <w:rFonts w:ascii="Arial" w:hAnsi="Arial" w:cs="Arial" w:hint="eastAsia"/>
          <w:color w:val="000000" w:themeColor="text1"/>
          <w:sz w:val="20"/>
          <w:szCs w:val="20"/>
          <w:lang w:eastAsia="zh-CN"/>
        </w:rPr>
        <w:t xml:space="preserve"> </w:t>
      </w:r>
      <w:r w:rsidR="004E1725" w:rsidRPr="001F458C">
        <w:rPr>
          <w:rFonts w:ascii="Arial" w:hAnsi="Arial" w:cs="Arial"/>
          <w:color w:val="000000" w:themeColor="text1"/>
          <w:sz w:val="20"/>
          <w:szCs w:val="20"/>
        </w:rPr>
        <w:t>and abrasion resistance</w:t>
      </w:r>
      <w:r w:rsidR="00333CD5" w:rsidRPr="001F458C">
        <w:rPr>
          <w:rFonts w:ascii="Arial" w:hAnsi="Arial" w:cs="Arial"/>
          <w:color w:val="000000" w:themeColor="text1"/>
          <w:sz w:val="20"/>
          <w:szCs w:val="20"/>
        </w:rPr>
        <w:t>, making these</w:t>
      </w:r>
      <w:r w:rsidR="004E1725" w:rsidRPr="001F458C">
        <w:rPr>
          <w:rFonts w:ascii="Arial" w:hAnsi="Arial" w:cs="Arial"/>
          <w:color w:val="000000" w:themeColor="text1"/>
          <w:sz w:val="20"/>
          <w:szCs w:val="20"/>
        </w:rPr>
        <w:t xml:space="preserve"> </w:t>
      </w:r>
      <w:r w:rsidR="00C36FB4" w:rsidRPr="001F458C">
        <w:rPr>
          <w:rFonts w:ascii="Arial" w:hAnsi="Arial" w:cs="Arial"/>
          <w:color w:val="000000" w:themeColor="text1"/>
          <w:sz w:val="20"/>
          <w:szCs w:val="20"/>
        </w:rPr>
        <w:t xml:space="preserve">nutrition bottle materials </w:t>
      </w:r>
      <w:r w:rsidR="004E1725" w:rsidRPr="001F458C">
        <w:rPr>
          <w:rFonts w:ascii="Arial" w:hAnsi="Arial" w:cs="Arial"/>
          <w:color w:val="000000" w:themeColor="text1"/>
          <w:sz w:val="20"/>
          <w:szCs w:val="20"/>
        </w:rPr>
        <w:t>suitable for a wide</w:t>
      </w:r>
      <w:r w:rsidR="001F458C">
        <w:rPr>
          <w:rFonts w:ascii="Arial" w:hAnsi="Arial" w:cs="Arial" w:hint="eastAsia"/>
          <w:color w:val="000000" w:themeColor="text1"/>
          <w:sz w:val="20"/>
          <w:szCs w:val="20"/>
          <w:lang w:eastAsia="zh-CN"/>
        </w:rPr>
        <w:t xml:space="preserve"> </w:t>
      </w:r>
      <w:r w:rsidR="004E1725" w:rsidRPr="001F458C">
        <w:rPr>
          <w:rFonts w:ascii="Arial" w:hAnsi="Arial" w:cs="Arial"/>
          <w:color w:val="000000" w:themeColor="text1"/>
          <w:sz w:val="20"/>
          <w:szCs w:val="20"/>
        </w:rPr>
        <w:t xml:space="preserve">range of bottle components, including sealing cups, caps, </w:t>
      </w:r>
      <w:proofErr w:type="spellStart"/>
      <w:proofErr w:type="gramStart"/>
      <w:r w:rsidR="004E1725" w:rsidRPr="001F458C">
        <w:rPr>
          <w:rFonts w:ascii="Arial" w:hAnsi="Arial" w:cs="Arial"/>
          <w:color w:val="000000" w:themeColor="text1"/>
          <w:sz w:val="20"/>
          <w:szCs w:val="20"/>
        </w:rPr>
        <w:t>handles,and</w:t>
      </w:r>
      <w:proofErr w:type="spellEnd"/>
      <w:proofErr w:type="gramEnd"/>
      <w:r w:rsidR="004E1725" w:rsidRPr="001F458C">
        <w:rPr>
          <w:rFonts w:ascii="Arial" w:hAnsi="Arial" w:cs="Arial"/>
          <w:color w:val="000000" w:themeColor="text1"/>
          <w:sz w:val="20"/>
          <w:szCs w:val="20"/>
        </w:rPr>
        <w:t xml:space="preserve"> protective sleeves. </w:t>
      </w:r>
    </w:p>
    <w:p w14:paraId="129C28FF" w14:textId="77777777" w:rsidR="001F458C" w:rsidRPr="001F458C" w:rsidRDefault="001F458C" w:rsidP="00333CD5">
      <w:pPr>
        <w:spacing w:after="0" w:line="360" w:lineRule="auto"/>
        <w:rPr>
          <w:rFonts w:ascii="Arial" w:hAnsi="Arial" w:cs="Arial"/>
          <w:color w:val="000000" w:themeColor="text1"/>
          <w:sz w:val="6"/>
          <w:szCs w:val="6"/>
        </w:rPr>
      </w:pPr>
    </w:p>
    <w:p w14:paraId="40D3BCB6" w14:textId="77777777" w:rsidR="004E1725" w:rsidRPr="001F458C" w:rsidRDefault="004E1725" w:rsidP="004E1725">
      <w:pPr>
        <w:spacing w:line="360" w:lineRule="auto"/>
        <w:ind w:right="1559"/>
        <w:jc w:val="both"/>
        <w:rPr>
          <w:rFonts w:ascii="Arial" w:hAnsi="Arial" w:cs="Arial"/>
          <w:color w:val="000000" w:themeColor="text1"/>
          <w:sz w:val="4"/>
          <w:szCs w:val="4"/>
        </w:rPr>
      </w:pPr>
    </w:p>
    <w:p w14:paraId="15FB5EEC" w14:textId="7B899325" w:rsidR="004E1725" w:rsidRPr="001F458C" w:rsidRDefault="004E1725" w:rsidP="00AA0EFC">
      <w:pPr>
        <w:spacing w:line="360" w:lineRule="auto"/>
        <w:ind w:right="1559"/>
        <w:jc w:val="both"/>
        <w:rPr>
          <w:rFonts w:ascii="Arial" w:hAnsi="Arial" w:cs="Arial"/>
          <w:b/>
          <w:bCs/>
          <w:color w:val="000000" w:themeColor="text1"/>
          <w:sz w:val="20"/>
          <w:szCs w:val="20"/>
        </w:rPr>
      </w:pPr>
      <w:r w:rsidRPr="001F458C">
        <w:rPr>
          <w:rFonts w:ascii="Arial" w:hAnsi="Arial" w:cs="Arial"/>
          <w:b/>
          <w:bCs/>
          <w:color w:val="000000" w:themeColor="text1"/>
          <w:sz w:val="20"/>
          <w:szCs w:val="20"/>
        </w:rPr>
        <w:t xml:space="preserve">Compliance </w:t>
      </w:r>
      <w:r w:rsidR="00C36FB4" w:rsidRPr="001F458C">
        <w:rPr>
          <w:rFonts w:ascii="Arial" w:hAnsi="Arial" w:cs="Arial"/>
          <w:b/>
          <w:bCs/>
          <w:color w:val="000000" w:themeColor="text1"/>
          <w:sz w:val="20"/>
          <w:szCs w:val="20"/>
        </w:rPr>
        <w:t>with</w:t>
      </w:r>
      <w:r w:rsidRPr="001F458C">
        <w:rPr>
          <w:rFonts w:ascii="Arial" w:hAnsi="Arial" w:cs="Arial"/>
          <w:b/>
          <w:bCs/>
          <w:color w:val="000000" w:themeColor="text1"/>
          <w:sz w:val="20"/>
          <w:szCs w:val="20"/>
        </w:rPr>
        <w:t xml:space="preserve"> global </w:t>
      </w:r>
      <w:r w:rsidR="00C36FB4" w:rsidRPr="001F458C">
        <w:rPr>
          <w:rFonts w:ascii="Arial" w:hAnsi="Arial" w:cs="Arial"/>
          <w:b/>
          <w:bCs/>
          <w:color w:val="000000" w:themeColor="text1"/>
          <w:sz w:val="20"/>
          <w:szCs w:val="20"/>
        </w:rPr>
        <w:t>material standards</w:t>
      </w:r>
    </w:p>
    <w:p w14:paraId="094D7E17" w14:textId="61A6A05D" w:rsidR="001E13F9" w:rsidRDefault="00333CD5" w:rsidP="001E13F9">
      <w:pPr>
        <w:spacing w:line="360" w:lineRule="auto"/>
        <w:ind w:right="1559"/>
        <w:jc w:val="both"/>
        <w:rPr>
          <w:rFonts w:ascii="Arial" w:hAnsi="Arial" w:cs="Arial"/>
          <w:color w:val="000000" w:themeColor="text1"/>
          <w:sz w:val="20"/>
          <w:szCs w:val="20"/>
        </w:rPr>
      </w:pPr>
      <w:r w:rsidRPr="001F458C">
        <w:rPr>
          <w:rFonts w:ascii="Arial" w:hAnsi="Arial" w:cs="Arial"/>
          <w:color w:val="000000" w:themeColor="text1"/>
          <w:sz w:val="20"/>
          <w:szCs w:val="20"/>
        </w:rPr>
        <w:t>THERMOLAST</w:t>
      </w:r>
      <w:r w:rsidRPr="00A03577">
        <w:rPr>
          <w:rFonts w:ascii="Arial" w:hAnsi="Arial" w:cs="Arial"/>
          <w:color w:val="000000" w:themeColor="text1"/>
          <w:sz w:val="20"/>
          <w:szCs w:val="20"/>
          <w:vertAlign w:val="superscript"/>
        </w:rPr>
        <w:t>®</w:t>
      </w:r>
      <w:r w:rsidRPr="001F458C">
        <w:rPr>
          <w:rFonts w:ascii="Arial" w:hAnsi="Arial" w:cs="Arial"/>
          <w:color w:val="000000" w:themeColor="text1"/>
          <w:sz w:val="20"/>
          <w:szCs w:val="20"/>
        </w:rPr>
        <w:t xml:space="preserve"> K series meets international </w:t>
      </w:r>
      <w:hyperlink r:id="rId12" w:history="1">
        <w:r w:rsidRPr="00C37F09">
          <w:rPr>
            <w:rStyle w:val="Hyperlink"/>
            <w:rFonts w:ascii="Arial" w:hAnsi="Arial" w:cs="Arial"/>
            <w:sz w:val="20"/>
            <w:szCs w:val="20"/>
          </w:rPr>
          <w:t>food-contact compliance</w:t>
        </w:r>
      </w:hyperlink>
      <w:r w:rsidRPr="001F458C">
        <w:rPr>
          <w:rFonts w:ascii="Arial" w:hAnsi="Arial" w:cs="Arial"/>
          <w:color w:val="000000" w:themeColor="text1"/>
          <w:sz w:val="20"/>
          <w:szCs w:val="20"/>
        </w:rPr>
        <w:t xml:space="preserve"> and standards, including Regulation (EU) No 10/2011, US FDA CFR 21, GB 4806.7-2023, MERCOSUR (GMC Res. No. 03/92, 02/12, 39/19), and EN71-3, and is also ISCC PLUS certified for material sustainability and circularity.</w:t>
      </w:r>
    </w:p>
    <w:p w14:paraId="345AB3C7" w14:textId="77777777" w:rsidR="001107ED" w:rsidRPr="001107ED" w:rsidRDefault="001107ED" w:rsidP="001E13F9">
      <w:pPr>
        <w:spacing w:line="360" w:lineRule="auto"/>
        <w:ind w:right="1559"/>
        <w:jc w:val="both"/>
        <w:rPr>
          <w:rFonts w:ascii="Arial" w:hAnsi="Arial" w:cs="Arial"/>
          <w:color w:val="000000" w:themeColor="text1"/>
          <w:sz w:val="6"/>
          <w:szCs w:val="6"/>
        </w:rPr>
      </w:pPr>
    </w:p>
    <w:p w14:paraId="1C67651B" w14:textId="77777777" w:rsidR="001107ED" w:rsidRPr="009254AE" w:rsidRDefault="001107ED" w:rsidP="001107ED">
      <w:pPr>
        <w:spacing w:line="360" w:lineRule="auto"/>
        <w:ind w:right="1559"/>
        <w:jc w:val="both"/>
        <w:rPr>
          <w:rFonts w:ascii="Arial" w:hAnsi="Arial" w:cs="Arial"/>
          <w:color w:val="000000" w:themeColor="text1"/>
          <w:sz w:val="20"/>
          <w:szCs w:val="20"/>
        </w:rPr>
      </w:pPr>
      <w:r w:rsidRPr="00147046">
        <w:rPr>
          <w:rFonts w:ascii="Arial" w:hAnsi="Arial" w:cs="Arial"/>
          <w:b/>
          <w:bCs/>
          <w:sz w:val="20"/>
          <w:szCs w:val="20"/>
        </w:rPr>
        <w:t>KRAIBURG TPE at CHINAPLAS 2026</w:t>
      </w:r>
    </w:p>
    <w:p w14:paraId="4B711BE0" w14:textId="750EC13D" w:rsidR="00AA6F36" w:rsidRDefault="001107ED" w:rsidP="00BF1BA9">
      <w:pPr>
        <w:spacing w:line="360" w:lineRule="auto"/>
        <w:ind w:right="1559"/>
        <w:jc w:val="both"/>
        <w:rPr>
          <w:rFonts w:ascii="Arial" w:hAnsi="Arial" w:cs="Arial"/>
          <w:sz w:val="20"/>
          <w:szCs w:val="20"/>
        </w:rPr>
      </w:pPr>
      <w:r w:rsidRPr="002712A6">
        <w:rPr>
          <w:rFonts w:ascii="Arial" w:hAnsi="Arial" w:cs="Arial"/>
          <w:sz w:val="20"/>
          <w:szCs w:val="20"/>
        </w:rPr>
        <w:t xml:space="preserve">KRAIBURG TPE will join </w:t>
      </w:r>
      <w:hyperlink r:id="rId13" w:history="1">
        <w:r w:rsidRPr="002712A6">
          <w:rPr>
            <w:rStyle w:val="Hyperlink"/>
            <w:rFonts w:ascii="Arial" w:hAnsi="Arial" w:cs="Arial"/>
            <w:sz w:val="20"/>
            <w:szCs w:val="20"/>
          </w:rPr>
          <w:t>CHINAPLAS 2026</w:t>
        </w:r>
      </w:hyperlink>
      <w:r w:rsidRPr="002712A6">
        <w:rPr>
          <w:rFonts w:ascii="Arial" w:hAnsi="Arial" w:cs="Arial"/>
          <w:sz w:val="20"/>
          <w:szCs w:val="20"/>
        </w:rPr>
        <w:t xml:space="preserve">, taking place from </w:t>
      </w:r>
      <w:r w:rsidRPr="002712A6">
        <w:rPr>
          <w:rFonts w:ascii="Arial" w:hAnsi="Arial" w:cs="Arial"/>
          <w:b/>
          <w:bCs/>
          <w:sz w:val="20"/>
          <w:szCs w:val="20"/>
        </w:rPr>
        <w:t>21–24 April</w:t>
      </w:r>
      <w:r w:rsidRPr="00147046">
        <w:rPr>
          <w:rFonts w:ascii="Arial" w:hAnsi="Arial" w:cs="Arial"/>
          <w:b/>
          <w:bCs/>
          <w:sz w:val="20"/>
          <w:szCs w:val="20"/>
        </w:rPr>
        <w:t xml:space="preserve"> 2026</w:t>
      </w:r>
      <w:r w:rsidRPr="00147046">
        <w:rPr>
          <w:rFonts w:ascii="Arial" w:hAnsi="Arial" w:cs="Arial"/>
          <w:sz w:val="20"/>
          <w:szCs w:val="20"/>
        </w:rPr>
        <w:t xml:space="preserve"> in </w:t>
      </w:r>
      <w:r w:rsidRPr="00147046">
        <w:rPr>
          <w:rFonts w:ascii="Arial" w:hAnsi="Arial" w:cs="Arial"/>
          <w:b/>
          <w:bCs/>
          <w:sz w:val="20"/>
          <w:szCs w:val="20"/>
        </w:rPr>
        <w:t>National Exhibition and Convention Center (NECC)</w:t>
      </w:r>
      <w:r w:rsidRPr="00FE483B">
        <w:rPr>
          <w:rFonts w:ascii="Arial" w:hAnsi="Arial" w:cs="Arial"/>
          <w:b/>
          <w:bCs/>
          <w:sz w:val="20"/>
          <w:szCs w:val="20"/>
        </w:rPr>
        <w:t xml:space="preserve"> Shanghai,</w:t>
      </w:r>
      <w:r w:rsidRPr="00FE483B">
        <w:rPr>
          <w:rFonts w:ascii="Arial" w:hAnsi="Arial" w:cs="Arial"/>
          <w:sz w:val="20"/>
          <w:szCs w:val="20"/>
        </w:rPr>
        <w:t xml:space="preserve"> </w:t>
      </w:r>
      <w:r w:rsidRPr="00FE483B">
        <w:rPr>
          <w:rFonts w:ascii="Arial" w:hAnsi="Arial" w:cs="Arial"/>
          <w:b/>
          <w:bCs/>
          <w:sz w:val="20"/>
          <w:szCs w:val="20"/>
        </w:rPr>
        <w:t>China</w:t>
      </w:r>
      <w:r w:rsidRPr="00FE483B">
        <w:rPr>
          <w:rFonts w:ascii="Arial" w:hAnsi="Arial" w:cs="Arial"/>
          <w:sz w:val="20"/>
          <w:szCs w:val="20"/>
        </w:rPr>
        <w:t xml:space="preserve"> at </w:t>
      </w:r>
      <w:r w:rsidRPr="00FE483B">
        <w:rPr>
          <w:rFonts w:ascii="Arial" w:hAnsi="Arial" w:cs="Arial"/>
          <w:b/>
          <w:bCs/>
          <w:sz w:val="20"/>
          <w:szCs w:val="20"/>
        </w:rPr>
        <w:t>Hall 7.2 Booth No. D13,</w:t>
      </w:r>
      <w:r w:rsidRPr="00FE483B">
        <w:rPr>
          <w:rFonts w:ascii="Arial" w:hAnsi="Arial" w:cs="Arial"/>
          <w:sz w:val="20"/>
          <w:szCs w:val="20"/>
        </w:rPr>
        <w:t xml:space="preserve"> where the company will present a broad portfolio of thermoplastic elastomer (TPE) materials. Visitors are invited to visit the KRAIBURG TPE booth to explore the latest material innovations and benefit from free </w:t>
      </w:r>
      <w:r w:rsidRPr="00FE483B">
        <w:rPr>
          <w:rFonts w:ascii="Arial" w:hAnsi="Arial" w:cs="Arial"/>
          <w:b/>
          <w:bCs/>
          <w:sz w:val="20"/>
          <w:szCs w:val="20"/>
        </w:rPr>
        <w:t>one-to-one consultations</w:t>
      </w:r>
      <w:r w:rsidRPr="00FE483B">
        <w:rPr>
          <w:rFonts w:ascii="Arial" w:hAnsi="Arial" w:cs="Arial"/>
          <w:sz w:val="20"/>
          <w:szCs w:val="20"/>
        </w:rPr>
        <w:t xml:space="preserve"> with technical experts, offering personalized material recommendations and application support.</w:t>
      </w:r>
    </w:p>
    <w:p w14:paraId="08C6D092" w14:textId="77777777" w:rsidR="001107ED" w:rsidRDefault="001107ED" w:rsidP="00BF1BA9">
      <w:pPr>
        <w:spacing w:line="360" w:lineRule="auto"/>
        <w:ind w:right="1559"/>
        <w:jc w:val="both"/>
        <w:rPr>
          <w:rFonts w:ascii="Arial" w:hAnsi="Arial" w:cs="Arial"/>
          <w:sz w:val="6"/>
          <w:szCs w:val="6"/>
        </w:rPr>
      </w:pPr>
    </w:p>
    <w:p w14:paraId="71D66A34" w14:textId="77777777" w:rsidR="001107ED" w:rsidRDefault="001107ED" w:rsidP="00BF1BA9">
      <w:pPr>
        <w:spacing w:line="360" w:lineRule="auto"/>
        <w:ind w:right="1559"/>
        <w:jc w:val="both"/>
        <w:rPr>
          <w:rFonts w:ascii="Arial" w:hAnsi="Arial" w:cs="Arial"/>
          <w:sz w:val="6"/>
          <w:szCs w:val="6"/>
        </w:rPr>
      </w:pPr>
    </w:p>
    <w:p w14:paraId="49CBD55E" w14:textId="77777777" w:rsidR="001107ED" w:rsidRDefault="001107ED" w:rsidP="00BF1BA9">
      <w:pPr>
        <w:spacing w:line="360" w:lineRule="auto"/>
        <w:ind w:right="1559"/>
        <w:jc w:val="both"/>
        <w:rPr>
          <w:rFonts w:ascii="Arial" w:hAnsi="Arial" w:cs="Arial"/>
          <w:sz w:val="6"/>
          <w:szCs w:val="6"/>
        </w:rPr>
      </w:pPr>
    </w:p>
    <w:p w14:paraId="4B4AF0E2" w14:textId="77777777" w:rsidR="001107ED" w:rsidRPr="001107ED" w:rsidRDefault="001107ED" w:rsidP="00BF1BA9">
      <w:pPr>
        <w:spacing w:line="360" w:lineRule="auto"/>
        <w:ind w:right="1559"/>
        <w:jc w:val="both"/>
        <w:rPr>
          <w:rFonts w:ascii="Arial" w:hAnsi="Arial" w:cs="Arial"/>
          <w:sz w:val="6"/>
          <w:szCs w:val="6"/>
        </w:rPr>
      </w:pPr>
    </w:p>
    <w:p w14:paraId="1935BF95" w14:textId="3301106D"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lastRenderedPageBreak/>
        <w:t>Sustainability from the get-go</w:t>
      </w:r>
    </w:p>
    <w:p w14:paraId="3E037EFC" w14:textId="2E4CF0C2"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4" w:history="1">
        <w:r w:rsidRPr="00C37F09">
          <w:rPr>
            <w:rStyle w:val="Hyperlink"/>
            <w:rFonts w:ascii="Arial" w:hAnsi="Arial" w:cs="Arial"/>
            <w:sz w:val="20"/>
            <w:szCs w:val="20"/>
          </w:rPr>
          <w:t>sustainability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We proudly earned the </w:t>
      </w:r>
      <w:proofErr w:type="spellStart"/>
      <w:r w:rsidRPr="00FF3DF8">
        <w:rPr>
          <w:rFonts w:ascii="Arial" w:hAnsi="Arial" w:cs="Arial"/>
          <w:sz w:val="20"/>
          <w:szCs w:val="20"/>
        </w:rPr>
        <w:t>EcoVadis</w:t>
      </w:r>
      <w:proofErr w:type="spellEnd"/>
      <w:r w:rsidRPr="00FF3DF8">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Get in touch today to learn how KRAIBURG TPE can support your sustainability and product development journey.</w:t>
      </w:r>
    </w:p>
    <w:p w14:paraId="48D2AB15" w14:textId="65215964" w:rsidR="00F71CED" w:rsidRPr="00D25591" w:rsidRDefault="00F71CED" w:rsidP="00510C41">
      <w:pPr>
        <w:spacing w:line="360" w:lineRule="auto"/>
        <w:ind w:right="1559"/>
        <w:jc w:val="both"/>
        <w:rPr>
          <w:rFonts w:ascii="Arial" w:hAnsi="Arial" w:cs="Arial"/>
          <w:color w:val="000000" w:themeColor="text1"/>
          <w:sz w:val="20"/>
          <w:szCs w:val="20"/>
          <w:lang w:eastAsia="zh-CN"/>
        </w:rPr>
      </w:pPr>
      <w:r w:rsidRPr="00BC6E5A">
        <w:rPr>
          <w:rFonts w:ascii="Arial" w:hAnsi="Arial" w:cs="Arial"/>
          <w:b/>
          <w:bCs/>
          <w:color w:val="000000" w:themeColor="text1"/>
          <w:sz w:val="20"/>
          <w:szCs w:val="20"/>
        </w:rPr>
        <w:t xml:space="preserve">Discover More with </w:t>
      </w:r>
      <w:r w:rsidR="00D25591" w:rsidRPr="00BC6E5A">
        <w:rPr>
          <w:rFonts w:ascii="Arial" w:hAnsi="Arial" w:cs="Arial"/>
          <w:b/>
          <w:bCs/>
          <w:color w:val="000000" w:themeColor="text1"/>
          <w:sz w:val="20"/>
          <w:szCs w:val="20"/>
        </w:rPr>
        <w:t>TPE</w:t>
      </w:r>
      <w:r w:rsidR="00D25591" w:rsidRPr="00BC6E5A">
        <w:rPr>
          <w:rFonts w:ascii="Arial" w:hAnsi="Arial" w:cs="Arial"/>
          <w:color w:val="000000" w:themeColor="text1"/>
          <w:sz w:val="20"/>
          <w:szCs w:val="20"/>
        </w:rPr>
        <w:t>:</w:t>
      </w:r>
      <w:r w:rsidR="00D25591">
        <w:rPr>
          <w:rFonts w:ascii="Arial" w:hAnsi="Arial" w:cs="Arial" w:hint="eastAsia"/>
          <w:color w:val="000000" w:themeColor="text1"/>
          <w:sz w:val="20"/>
          <w:szCs w:val="20"/>
          <w:lang w:eastAsia="zh-CN"/>
        </w:rPr>
        <w:t xml:space="preserve"> </w:t>
      </w:r>
      <w:r w:rsidR="0073002C" w:rsidRPr="0073002C">
        <w:rPr>
          <w:rFonts w:ascii="Arial" w:hAnsi="Arial" w:cs="Arial"/>
          <w:color w:val="000000" w:themeColor="text1"/>
          <w:sz w:val="20"/>
          <w:szCs w:val="20"/>
          <w:lang w:eastAsia="zh-CN"/>
        </w:rPr>
        <w:t>Whether it’s</w:t>
      </w:r>
      <w:r w:rsidR="00EB46A5">
        <w:rPr>
          <w:rFonts w:ascii="Arial" w:hAnsi="Arial" w:cs="Arial" w:hint="eastAsia"/>
          <w:color w:val="000000" w:themeColor="text1"/>
          <w:sz w:val="20"/>
          <w:szCs w:val="20"/>
          <w:lang w:eastAsia="zh-CN"/>
        </w:rPr>
        <w:t xml:space="preserve"> </w:t>
      </w:r>
      <w:hyperlink r:id="rId15" w:history="1">
        <w:r w:rsidR="0073002C" w:rsidRPr="00C37F09">
          <w:rPr>
            <w:rStyle w:val="Hyperlink"/>
            <w:rFonts w:ascii="Arial" w:hAnsi="Arial" w:cs="Arial"/>
            <w:sz w:val="20"/>
            <w:szCs w:val="20"/>
            <w:lang w:eastAsia="zh-CN"/>
          </w:rPr>
          <w:t>food container</w:t>
        </w:r>
      </w:hyperlink>
      <w:r w:rsidR="0073002C" w:rsidRPr="0073002C">
        <w:rPr>
          <w:rFonts w:ascii="Arial" w:hAnsi="Arial" w:cs="Arial"/>
          <w:color w:val="000000" w:themeColor="text1"/>
          <w:sz w:val="20"/>
          <w:szCs w:val="20"/>
          <w:lang w:eastAsia="zh-CN"/>
        </w:rPr>
        <w:t xml:space="preserve"> or </w:t>
      </w:r>
      <w:hyperlink r:id="rId16" w:history="1">
        <w:r w:rsidR="00E60417" w:rsidRPr="00C37F09">
          <w:rPr>
            <w:rStyle w:val="Hyperlink"/>
            <w:rFonts w:ascii="Arial" w:hAnsi="Arial" w:cs="Arial" w:hint="eastAsia"/>
            <w:sz w:val="20"/>
            <w:szCs w:val="20"/>
            <w:lang w:eastAsia="zh-CN"/>
          </w:rPr>
          <w:t>s</w:t>
        </w:r>
        <w:r w:rsidR="00E60417" w:rsidRPr="00C37F09">
          <w:rPr>
            <w:rStyle w:val="Hyperlink"/>
            <w:rFonts w:ascii="Arial" w:hAnsi="Arial" w:cs="Arial"/>
            <w:sz w:val="20"/>
            <w:szCs w:val="20"/>
            <w:lang w:eastAsia="zh-CN"/>
          </w:rPr>
          <w:t xml:space="preserve">mart </w:t>
        </w:r>
        <w:r w:rsidR="00E60417" w:rsidRPr="00C37F09">
          <w:rPr>
            <w:rStyle w:val="Hyperlink"/>
            <w:rFonts w:ascii="Arial" w:hAnsi="Arial" w:cs="Arial" w:hint="eastAsia"/>
            <w:sz w:val="20"/>
            <w:szCs w:val="20"/>
            <w:lang w:eastAsia="zh-CN"/>
          </w:rPr>
          <w:t>w</w:t>
        </w:r>
        <w:r w:rsidR="00E60417" w:rsidRPr="00C37F09">
          <w:rPr>
            <w:rStyle w:val="Hyperlink"/>
            <w:rFonts w:ascii="Arial" w:hAnsi="Arial" w:cs="Arial"/>
            <w:sz w:val="20"/>
            <w:szCs w:val="20"/>
            <w:lang w:eastAsia="zh-CN"/>
          </w:rPr>
          <w:t xml:space="preserve">ater </w:t>
        </w:r>
        <w:r w:rsidR="00E60417" w:rsidRPr="00C37F09">
          <w:rPr>
            <w:rStyle w:val="Hyperlink"/>
            <w:rFonts w:ascii="Arial" w:hAnsi="Arial" w:cs="Arial" w:hint="eastAsia"/>
            <w:sz w:val="20"/>
            <w:szCs w:val="20"/>
            <w:lang w:eastAsia="zh-CN"/>
          </w:rPr>
          <w:t>d</w:t>
        </w:r>
        <w:r w:rsidR="00E60417" w:rsidRPr="00C37F09">
          <w:rPr>
            <w:rStyle w:val="Hyperlink"/>
            <w:rFonts w:ascii="Arial" w:hAnsi="Arial" w:cs="Arial"/>
            <w:sz w:val="20"/>
            <w:szCs w:val="20"/>
            <w:lang w:eastAsia="zh-CN"/>
          </w:rPr>
          <w:t>ispensers</w:t>
        </w:r>
      </w:hyperlink>
      <w:r w:rsidR="0073002C" w:rsidRPr="0073002C">
        <w:rPr>
          <w:rFonts w:ascii="Arial" w:hAnsi="Arial" w:cs="Arial"/>
          <w:color w:val="000000" w:themeColor="text1"/>
          <w:sz w:val="20"/>
          <w:szCs w:val="20"/>
          <w:lang w:eastAsia="zh-CN"/>
        </w:rPr>
        <w:t>, KRAIBURG TPE delivers safe, durable, and user-friendly solutions for every day.</w:t>
      </w:r>
    </w:p>
    <w:p w14:paraId="6FD6A99C" w14:textId="4FA387E8" w:rsidR="00510C41" w:rsidRP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4A02B3BA" w14:textId="77777777" w:rsidR="008C52DA" w:rsidRPr="002A1918" w:rsidRDefault="00AA0EDF" w:rsidP="008C52DA">
      <w:pPr>
        <w:spacing w:line="360" w:lineRule="auto"/>
        <w:ind w:right="1559"/>
        <w:jc w:val="both"/>
        <w:rPr>
          <w:noProof/>
        </w:rPr>
      </w:pPr>
      <w:r>
        <w:rPr>
          <w:rFonts w:ascii="Arial" w:hAnsi="Arial" w:cs="Arial"/>
          <w:noProof/>
          <w:sz w:val="20"/>
          <w:szCs w:val="20"/>
          <w:lang w:eastAsia="zh-CN"/>
        </w:rPr>
        <w:lastRenderedPageBreak/>
        <w:drawing>
          <wp:inline distT="0" distB="0" distL="0" distR="0" wp14:anchorId="25B320D6" wp14:editId="02681FBA">
            <wp:extent cx="4228204" cy="2339340"/>
            <wp:effectExtent l="0" t="0" r="1270" b="3810"/>
            <wp:docPr id="668710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710792" name="Picture 66871079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43051" cy="2347555"/>
                    </a:xfrm>
                    <a:prstGeom prst="rect">
                      <a:avLst/>
                    </a:prstGeom>
                  </pic:spPr>
                </pic:pic>
              </a:graphicData>
            </a:graphic>
          </wp:inline>
        </w:drawing>
      </w:r>
      <w:r w:rsidR="00416245">
        <w:rPr>
          <w:rFonts w:ascii="Arial" w:hAnsi="Arial" w:cs="Arial"/>
          <w:sz w:val="20"/>
          <w:szCs w:val="20"/>
          <w:lang w:eastAsia="zh-CN"/>
        </w:rPr>
        <w:br/>
      </w:r>
      <w:r w:rsidR="008C52DA" w:rsidRPr="003E4160">
        <w:rPr>
          <w:rFonts w:ascii="Arial" w:hAnsi="Arial" w:cs="Arial"/>
          <w:b/>
          <w:bCs/>
          <w:sz w:val="20"/>
          <w:szCs w:val="20"/>
          <w:lang w:bidi="ar-SA"/>
        </w:rPr>
        <w:t>(Photo: © 202</w:t>
      </w:r>
      <w:r w:rsidR="008C52DA">
        <w:rPr>
          <w:rFonts w:ascii="Arial" w:hAnsi="Arial" w:cs="Arial" w:hint="eastAsia"/>
          <w:b/>
          <w:bCs/>
          <w:sz w:val="20"/>
          <w:szCs w:val="20"/>
          <w:lang w:eastAsia="zh-CN" w:bidi="ar-SA"/>
        </w:rPr>
        <w:t>6</w:t>
      </w:r>
      <w:r w:rsidR="008C52DA" w:rsidRPr="003E4160">
        <w:rPr>
          <w:rFonts w:ascii="Arial" w:hAnsi="Arial" w:cs="Arial"/>
          <w:b/>
          <w:bCs/>
          <w:sz w:val="20"/>
          <w:szCs w:val="20"/>
          <w:lang w:bidi="ar-SA"/>
        </w:rPr>
        <w:t xml:space="preserve"> KRAIBURG TPE)</w:t>
      </w:r>
    </w:p>
    <w:p w14:paraId="64B5C188" w14:textId="77777777" w:rsidR="008C52DA" w:rsidRPr="003E4160" w:rsidRDefault="008C52DA" w:rsidP="008C52DA">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2BCE6BE1" w14:textId="77777777" w:rsidR="008C52DA" w:rsidRPr="003E4160" w:rsidRDefault="008C52DA" w:rsidP="008C52DA">
      <w:pPr>
        <w:spacing w:after="0" w:line="360" w:lineRule="auto"/>
        <w:ind w:right="1559"/>
        <w:rPr>
          <w:rFonts w:ascii="Arial" w:hAnsi="Arial" w:cs="Arial"/>
          <w:sz w:val="20"/>
          <w:szCs w:val="20"/>
        </w:rPr>
      </w:pPr>
    </w:p>
    <w:p w14:paraId="290D58AD" w14:textId="77777777" w:rsidR="008C52DA" w:rsidRPr="003E4160" w:rsidRDefault="008C52DA" w:rsidP="008C52DA">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1052EF65" wp14:editId="58B6ADA9">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FB8B2" w14:textId="77777777" w:rsidR="008C52DA" w:rsidRDefault="008C52DA" w:rsidP="008C52DA">
      <w:pPr>
        <w:ind w:right="1559"/>
      </w:pPr>
      <w:hyperlink r:id="rId21" w:history="1">
        <w:r w:rsidRPr="003E4160">
          <w:rPr>
            <w:rStyle w:val="Hyperlink"/>
            <w:rFonts w:ascii="Arial" w:hAnsi="Arial" w:cs="Arial"/>
            <w:bCs/>
            <w:color w:val="auto"/>
            <w:sz w:val="20"/>
            <w:szCs w:val="20"/>
            <w:lang w:val="en-GB"/>
          </w:rPr>
          <w:t>download high-resolution images</w:t>
        </w:r>
      </w:hyperlink>
    </w:p>
    <w:p w14:paraId="762D41F4" w14:textId="77777777" w:rsidR="008C52DA" w:rsidRPr="003E4160" w:rsidRDefault="008C52DA" w:rsidP="008C52DA">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73312088" wp14:editId="3EB9F013">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41481DCF" w14:textId="77777777" w:rsidR="008C52DA" w:rsidRPr="00A53340" w:rsidRDefault="008C52DA" w:rsidP="008C52DA">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06AC7288" w14:textId="77777777" w:rsidR="008C52DA" w:rsidRPr="003E4160" w:rsidRDefault="008C52DA" w:rsidP="008C52DA">
      <w:pPr>
        <w:ind w:right="1559"/>
        <w:rPr>
          <w:rFonts w:ascii="Arial" w:hAnsi="Arial" w:cs="Arial"/>
          <w:b/>
          <w:sz w:val="20"/>
          <w:szCs w:val="20"/>
          <w:lang w:val="en-GB"/>
        </w:rPr>
      </w:pPr>
      <w:r>
        <w:rPr>
          <w:rFonts w:ascii="Arial" w:hAnsi="Arial" w:cs="Arial"/>
          <w:bCs/>
          <w:sz w:val="20"/>
          <w:szCs w:val="20"/>
          <w:lang w:val="en-GB"/>
        </w:rPr>
        <w:fldChar w:fldCharType="end"/>
      </w:r>
    </w:p>
    <w:p w14:paraId="20B28734" w14:textId="77777777" w:rsidR="008C52DA" w:rsidRPr="003E4160" w:rsidRDefault="008C52DA" w:rsidP="008C52DA">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7BF9876A" w14:textId="77777777" w:rsidR="008C52DA" w:rsidRPr="003E4160" w:rsidRDefault="008C52DA" w:rsidP="008C52DA">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E3BEDAD" wp14:editId="5C1A11D0">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F2A3E16" wp14:editId="429CD6EA">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5EDB1D7" wp14:editId="5ACC4EFC">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AFEF721" wp14:editId="525BA82B">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14F6B24" wp14:editId="7ECDFEAB">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E96D417" w14:textId="77777777" w:rsidR="008C52DA" w:rsidRDefault="008C52DA" w:rsidP="008C52DA">
      <w:pPr>
        <w:ind w:right="1559"/>
        <w:rPr>
          <w:rFonts w:ascii="Arial" w:hAnsi="Arial" w:cs="Arial"/>
          <w:b/>
          <w:sz w:val="20"/>
          <w:szCs w:val="20"/>
          <w:lang w:val="en-MY"/>
        </w:rPr>
      </w:pPr>
    </w:p>
    <w:p w14:paraId="4C885C0C" w14:textId="7ECECCE1" w:rsidR="008C52DA" w:rsidRPr="003E4160" w:rsidRDefault="008C52DA" w:rsidP="008C52DA">
      <w:pPr>
        <w:ind w:right="1559"/>
        <w:rPr>
          <w:rFonts w:ascii="Arial" w:hAnsi="Arial" w:cs="Arial"/>
          <w:b/>
          <w:sz w:val="20"/>
          <w:szCs w:val="20"/>
          <w:lang w:val="en-MY"/>
        </w:rPr>
      </w:pPr>
      <w:r w:rsidRPr="003E4160">
        <w:rPr>
          <w:rFonts w:ascii="Arial" w:hAnsi="Arial" w:cs="Arial"/>
          <w:b/>
          <w:sz w:val="20"/>
          <w:szCs w:val="20"/>
          <w:lang w:val="en-MY"/>
        </w:rPr>
        <w:t>Follow us on WeChat</w:t>
      </w:r>
    </w:p>
    <w:p w14:paraId="26400C95" w14:textId="77777777" w:rsidR="008C52DA" w:rsidRPr="003E4160" w:rsidRDefault="008C52DA" w:rsidP="008C52DA">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3FAFE7F9" wp14:editId="5A630D0D">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0769A27C" w:rsidR="001655F4" w:rsidRPr="007D2C88" w:rsidRDefault="008C52DA" w:rsidP="008C52DA">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F3A6" w14:textId="77777777" w:rsidR="002A63E7" w:rsidRDefault="002A63E7" w:rsidP="00784C57">
      <w:pPr>
        <w:spacing w:after="0" w:line="240" w:lineRule="auto"/>
      </w:pPr>
      <w:r>
        <w:separator/>
      </w:r>
    </w:p>
  </w:endnote>
  <w:endnote w:type="continuationSeparator" w:id="0">
    <w:p w14:paraId="3AE59EEF" w14:textId="77777777" w:rsidR="002A63E7" w:rsidRDefault="002A63E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6CC3" w14:textId="77777777" w:rsidR="002A63E7" w:rsidRDefault="002A63E7" w:rsidP="00784C57">
      <w:pPr>
        <w:spacing w:after="0" w:line="240" w:lineRule="auto"/>
      </w:pPr>
      <w:r>
        <w:separator/>
      </w:r>
    </w:p>
  </w:footnote>
  <w:footnote w:type="continuationSeparator" w:id="0">
    <w:p w14:paraId="7A573F35" w14:textId="77777777" w:rsidR="002A63E7" w:rsidRDefault="002A63E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4481C3A2" w14:textId="77777777" w:rsidR="001F458C" w:rsidRDefault="001F458C" w:rsidP="000B103A">
          <w:pPr>
            <w:spacing w:after="0" w:line="360" w:lineRule="auto"/>
            <w:ind w:left="-105"/>
            <w:jc w:val="both"/>
            <w:rPr>
              <w:rFonts w:ascii="Arial" w:hAnsi="Arial" w:cs="Arial"/>
              <w:b/>
              <w:bCs/>
              <w:sz w:val="16"/>
              <w:szCs w:val="16"/>
            </w:rPr>
          </w:pPr>
          <w:r w:rsidRPr="001F458C">
            <w:rPr>
              <w:rFonts w:ascii="Arial" w:hAnsi="Arial" w:cs="Arial"/>
              <w:b/>
              <w:bCs/>
              <w:sz w:val="16"/>
              <w:szCs w:val="16"/>
            </w:rPr>
            <w:t>KRAIBURG TPE Materials Pack Functional and Safety Benefits for Nutrition Bottles</w:t>
          </w:r>
        </w:p>
        <w:p w14:paraId="37B35980" w14:textId="77777777" w:rsidR="008C52DA" w:rsidRPr="003804B8" w:rsidRDefault="008C52DA" w:rsidP="008C52DA">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April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73D0F5BE" w14:textId="77777777" w:rsidR="001F458C" w:rsidRDefault="001F458C" w:rsidP="003804B8">
          <w:pPr>
            <w:spacing w:after="0" w:line="360" w:lineRule="auto"/>
            <w:ind w:left="-105"/>
            <w:jc w:val="both"/>
            <w:rPr>
              <w:rFonts w:ascii="Arial" w:hAnsi="Arial" w:cs="Arial"/>
              <w:b/>
              <w:bCs/>
              <w:sz w:val="16"/>
              <w:szCs w:val="16"/>
            </w:rPr>
          </w:pPr>
          <w:r w:rsidRPr="001F458C">
            <w:rPr>
              <w:rFonts w:ascii="Arial" w:hAnsi="Arial" w:cs="Arial"/>
              <w:b/>
              <w:bCs/>
              <w:sz w:val="16"/>
              <w:szCs w:val="16"/>
            </w:rPr>
            <w:t>KRAIBURG TPE Materials Pack Functional and Safety Benefits for Nutrition Bottles</w:t>
          </w:r>
        </w:p>
        <w:p w14:paraId="765F9503" w14:textId="3EB18C8B"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8C52DA">
            <w:rPr>
              <w:rFonts w:ascii="Arial" w:hAnsi="Arial" w:hint="eastAsia"/>
              <w:b/>
              <w:sz w:val="16"/>
              <w:szCs w:val="16"/>
              <w:lang w:eastAsia="zh-CN"/>
            </w:rPr>
            <w:t>April</w:t>
          </w:r>
          <w:r w:rsidR="008B6B84">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7ED"/>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6E8E"/>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C52D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577"/>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4CDD"/>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627"/>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20"/>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hinaplas" TargetMode="External"/><Relationship Id="rId18" Type="http://schemas.openxmlformats.org/officeDocument/2006/relationships/hyperlink" Target="mailto:bridget.ngang@kraiburg-tpe.com"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bit.ly/34qxBOV"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controlled-migration-tpe"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en/materials-enhance-usability-smart-water-dispensers" TargetMode="External"/><Relationship Id="rId20" Type="http://schemas.openxmlformats.org/officeDocument/2006/relationships/image" Target="media/image2.png"/><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enhancing-functionality-food-containers" TargetMode="External"/><Relationship Id="rId23" Type="http://schemas.openxmlformats.org/officeDocument/2006/relationships/image" Target="media/image3.png"/><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purl.org/dc/dcmitype/"/>
    <ds:schemaRef ds:uri="b0aac98f-77e3-488e-b1d0-e526279ba76f"/>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elements/1.1/"/>
    <ds:schemaRef ds:uri="http://www.w3.org/XML/1998/namespace"/>
    <ds:schemaRef ds:uri="8d3818be-6f21-4c29-ab13-78e30dc982d3"/>
    <ds:schemaRef ds:uri="http://schemas.microsoft.com/office/2006/metadata/propertie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10</cp:revision>
  <cp:lastPrinted>2026-03-27T02:22:00Z</cp:lastPrinted>
  <dcterms:created xsi:type="dcterms:W3CDTF">2026-02-06T08:51:00Z</dcterms:created>
  <dcterms:modified xsi:type="dcterms:W3CDTF">2026-03-27T02:22:00Z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